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5553A4">
      <w:r>
        <w:t>Rapide mais pas trop dangereux</w:t>
      </w:r>
    </w:p>
    <w:p w:rsidR="005553A4" w:rsidRDefault="005553A4"/>
    <w:p w:rsidR="005553A4" w:rsidRDefault="005553A4">
      <w:r>
        <w:rPr>
          <w:noProof/>
        </w:rPr>
        <w:drawing>
          <wp:inline distT="0" distB="0" distL="0" distR="0" wp14:anchorId="10EBE6AF" wp14:editId="575C7ADF">
            <wp:extent cx="4562475" cy="3476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3A4" w:rsidRDefault="005553A4"/>
    <w:p w:rsidR="005553A4" w:rsidRDefault="005553A4">
      <w:r>
        <w:t>Démo avec  mise a jour payante comme McAffee</w:t>
      </w:r>
      <w:bookmarkStart w:id="0" w:name="_GoBack"/>
      <w:bookmarkEnd w:id="0"/>
    </w:p>
    <w:sectPr w:rsidR="005553A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4"/>
    <w:rsid w:val="005553A4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791A"/>
  <w15:chartTrackingRefBased/>
  <w15:docId w15:val="{036DFE1B-6EA6-45E5-845E-5FC7A90D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2022-10-17T15:26:00Z</dcterms:created>
  <dcterms:modified xsi:type="dcterms:W3CDTF">2022-10-17T15:33:00Z</dcterms:modified>
</cp:coreProperties>
</file>